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1F" w:rsidRDefault="00ED3B1F" w:rsidP="00ED3B1F">
      <w:pPr>
        <w:snapToGrid w:val="0"/>
        <w:spacing w:line="520" w:lineRule="exact"/>
        <w:ind w:left="840" w:hangingChars="300" w:hanging="840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</w:rPr>
        <w:t>2011-10-05</w:t>
      </w:r>
      <w:r>
        <w:rPr>
          <w:rFonts w:ascii="Times New Roman" w:eastAsia="標楷體" w:hAnsi="Times New Roman" w:hint="eastAsia"/>
          <w:sz w:val="28"/>
        </w:rPr>
        <w:t>家事調解學會代表</w:t>
      </w:r>
      <w:r w:rsidR="00BF3170">
        <w:rPr>
          <w:rFonts w:ascii="Times New Roman" w:eastAsia="標楷體" w:hAnsi="Times New Roman" w:hint="eastAsia"/>
          <w:sz w:val="28"/>
        </w:rPr>
        <w:t>擬</w:t>
      </w:r>
      <w:r>
        <w:rPr>
          <w:rFonts w:ascii="Times New Roman" w:eastAsia="標楷體" w:hAnsi="Times New Roman" w:hint="eastAsia"/>
          <w:sz w:val="28"/>
        </w:rPr>
        <w:t>發言</w:t>
      </w:r>
      <w:r w:rsidR="00BF3170">
        <w:rPr>
          <w:rFonts w:ascii="Times New Roman" w:eastAsia="標楷體" w:hAnsi="Times New Roman" w:hint="eastAsia"/>
          <w:sz w:val="28"/>
        </w:rPr>
        <w:t>之</w:t>
      </w:r>
      <w:bookmarkStart w:id="0" w:name="_GoBack"/>
      <w:bookmarkEnd w:id="0"/>
      <w:r>
        <w:rPr>
          <w:rFonts w:ascii="Times New Roman" w:eastAsia="標楷體" w:hAnsi="Times New Roman" w:hint="eastAsia"/>
          <w:sz w:val="28"/>
        </w:rPr>
        <w:t>內容：</w:t>
      </w:r>
    </w:p>
    <w:p w:rsidR="00D148AC" w:rsidRPr="00ED3B1F" w:rsidRDefault="00ED3B1F" w:rsidP="00A40049">
      <w:pPr>
        <w:pStyle w:val="a3"/>
        <w:numPr>
          <w:ilvl w:val="0"/>
          <w:numId w:val="1"/>
        </w:numPr>
        <w:snapToGrid w:val="0"/>
        <w:spacing w:line="520" w:lineRule="exact"/>
        <w:ind w:leftChars="0" w:left="840" w:hangingChars="300" w:hanging="840"/>
        <w:jc w:val="both"/>
        <w:rPr>
          <w:rFonts w:ascii="Times New Roman" w:eastAsia="標楷體" w:hAnsi="Times New Roman" w:hint="eastAsia"/>
          <w:sz w:val="28"/>
        </w:rPr>
      </w:pPr>
      <w:r w:rsidRPr="00ED3B1F">
        <w:rPr>
          <w:rFonts w:ascii="Times New Roman" w:eastAsia="標楷體" w:hAnsi="Times New Roman" w:hint="eastAsia"/>
          <w:sz w:val="28"/>
        </w:rPr>
        <w:t>在現行我國離婚法制下，我們認為透過「家事調解」方式解決家庭紛爭，是比「審判」更好的方式。</w:t>
      </w:r>
      <w:r>
        <w:rPr>
          <w:rFonts w:ascii="Times New Roman" w:eastAsia="標楷體" w:hAnsi="Times New Roman" w:hint="eastAsia"/>
          <w:sz w:val="28"/>
        </w:rPr>
        <w:t>但在司法院版草案中僅出現短短七個條文，採取整個</w:t>
      </w:r>
      <w:proofErr w:type="gramStart"/>
      <w:r w:rsidRPr="00ED3B1F">
        <w:rPr>
          <w:rFonts w:ascii="Times New Roman" w:eastAsia="標楷體" w:hAnsi="Times New Roman" w:hint="eastAsia"/>
          <w:sz w:val="28"/>
        </w:rPr>
        <w:t>準</w:t>
      </w:r>
      <w:proofErr w:type="gramEnd"/>
      <w:r w:rsidRPr="00ED3B1F">
        <w:rPr>
          <w:rFonts w:ascii="Times New Roman" w:eastAsia="標楷體" w:hAnsi="Times New Roman" w:hint="eastAsia"/>
          <w:sz w:val="28"/>
        </w:rPr>
        <w:t>用民事訴訟法「調解」之規定，但</w:t>
      </w:r>
      <w:r w:rsidRPr="00ED3B1F">
        <w:rPr>
          <w:rFonts w:ascii="Times New Roman" w:eastAsia="標楷體" w:hAnsi="Times New Roman" w:hint="eastAsia"/>
          <w:kern w:val="0"/>
          <w:sz w:val="28"/>
        </w:rPr>
        <w:t>「家事調解」</w:t>
      </w:r>
      <w:r w:rsidRPr="00ED3B1F">
        <w:rPr>
          <w:rFonts w:ascii="Times New Roman" w:eastAsia="標楷體" w:hAnsi="Times New Roman" w:hint="eastAsia"/>
          <w:kern w:val="0"/>
          <w:sz w:val="28"/>
        </w:rPr>
        <w:t>與一般財產糾紛之</w:t>
      </w:r>
      <w:r w:rsidRPr="00ED3B1F">
        <w:rPr>
          <w:rFonts w:ascii="Times New Roman" w:eastAsia="標楷體" w:hAnsi="Times New Roman" w:hint="eastAsia"/>
          <w:kern w:val="0"/>
          <w:sz w:val="28"/>
        </w:rPr>
        <w:t>「調解」</w:t>
      </w:r>
      <w:r w:rsidRPr="00ED3B1F">
        <w:rPr>
          <w:rFonts w:ascii="Times New Roman" w:eastAsia="標楷體" w:hAnsi="Times New Roman" w:hint="eastAsia"/>
          <w:kern w:val="0"/>
          <w:sz w:val="28"/>
        </w:rPr>
        <w:t>性質不同，</w:t>
      </w:r>
      <w:proofErr w:type="gramStart"/>
      <w:r>
        <w:rPr>
          <w:rFonts w:ascii="Times New Roman" w:eastAsia="標楷體" w:hAnsi="Times New Roman" w:hint="eastAsia"/>
          <w:kern w:val="0"/>
          <w:sz w:val="28"/>
        </w:rPr>
        <w:t>司法院用這樣</w:t>
      </w:r>
      <w:proofErr w:type="gramEnd"/>
      <w:r>
        <w:rPr>
          <w:rFonts w:ascii="Times New Roman" w:eastAsia="標楷體" w:hAnsi="Times New Roman" w:hint="eastAsia"/>
          <w:kern w:val="0"/>
          <w:sz w:val="28"/>
        </w:rPr>
        <w:t>的方式處裡，所呈現的</w:t>
      </w:r>
      <w:r w:rsidRPr="00ED3B1F">
        <w:rPr>
          <w:rFonts w:ascii="Times New Roman" w:eastAsia="標楷體" w:hAnsi="Times New Roman" w:hint="eastAsia"/>
          <w:sz w:val="28"/>
        </w:rPr>
        <w:t>顯然</w:t>
      </w:r>
      <w:r>
        <w:rPr>
          <w:rFonts w:ascii="Times New Roman" w:eastAsia="標楷體" w:hAnsi="Times New Roman" w:hint="eastAsia"/>
          <w:sz w:val="28"/>
        </w:rPr>
        <w:t>是根本</w:t>
      </w:r>
      <w:r w:rsidRPr="00ED3B1F">
        <w:rPr>
          <w:rFonts w:ascii="Times New Roman" w:eastAsia="標楷體" w:hAnsi="Times New Roman" w:hint="eastAsia"/>
          <w:sz w:val="28"/>
        </w:rPr>
        <w:t>不重視</w:t>
      </w:r>
      <w:r>
        <w:rPr>
          <w:rFonts w:ascii="Times New Roman" w:eastAsia="標楷體" w:hAnsi="Times New Roman" w:hint="eastAsia"/>
          <w:kern w:val="0"/>
          <w:sz w:val="28"/>
        </w:rPr>
        <w:t>「家事調解」</w:t>
      </w:r>
      <w:r w:rsidRPr="00ED3B1F">
        <w:rPr>
          <w:rFonts w:ascii="Times New Roman" w:eastAsia="標楷體" w:hAnsi="Times New Roman" w:hint="eastAsia"/>
          <w:sz w:val="28"/>
        </w:rPr>
        <w:t>。</w:t>
      </w:r>
    </w:p>
    <w:p w:rsidR="00A40049" w:rsidRPr="00A40049" w:rsidRDefault="00ED3B1F" w:rsidP="00A40049">
      <w:pPr>
        <w:pStyle w:val="a3"/>
        <w:numPr>
          <w:ilvl w:val="0"/>
          <w:numId w:val="1"/>
        </w:numPr>
        <w:snapToGrid w:val="0"/>
        <w:spacing w:line="520" w:lineRule="exact"/>
        <w:ind w:leftChars="0" w:left="840" w:hangingChars="300" w:hanging="840"/>
        <w:jc w:val="both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</w:rPr>
        <w:t>就本次</w:t>
      </w:r>
      <w:r>
        <w:rPr>
          <w:rFonts w:ascii="Times New Roman" w:eastAsia="標楷體" w:hAnsi="Times New Roman" w:hint="eastAsia"/>
          <w:kern w:val="0"/>
          <w:sz w:val="28"/>
        </w:rPr>
        <w:t>司法院版草案</w:t>
      </w:r>
      <w:r>
        <w:rPr>
          <w:rFonts w:ascii="Times New Roman" w:eastAsia="標楷體" w:hAnsi="Times New Roman" w:hint="eastAsia"/>
          <w:kern w:val="0"/>
          <w:sz w:val="28"/>
        </w:rPr>
        <w:t>，</w:t>
      </w:r>
      <w:r>
        <w:rPr>
          <w:rFonts w:ascii="Times New Roman" w:eastAsia="標楷體" w:hAnsi="Times New Roman" w:hint="eastAsia"/>
          <w:sz w:val="28"/>
        </w:rPr>
        <w:t>家事調解學會所關注的家事調解制度部分，與主辦單位</w:t>
      </w:r>
      <w:r w:rsidR="00811258">
        <w:rPr>
          <w:rFonts w:ascii="Times New Roman" w:eastAsia="標楷體" w:hAnsi="Times New Roman" w:hint="eastAsia"/>
          <w:sz w:val="28"/>
        </w:rPr>
        <w:t>相同的部分即是主張於法案中應明定採取「『調解法官』應與『審理法官』」分離。司法院對於主辦單位連署聲明之回應為：</w:t>
      </w:r>
      <w:r w:rsidR="00A40049" w:rsidRPr="00D755A3">
        <w:rPr>
          <w:rFonts w:eastAsia="標楷體" w:hAnsi="標楷體" w:hint="eastAsia"/>
          <w:sz w:val="28"/>
          <w:szCs w:val="28"/>
        </w:rPr>
        <w:t>「</w:t>
      </w:r>
      <w:r w:rsidR="00A40049" w:rsidRPr="00D755A3">
        <w:rPr>
          <w:rFonts w:eastAsia="標楷體" w:hAnsi="標楷體"/>
          <w:sz w:val="28"/>
          <w:szCs w:val="28"/>
        </w:rPr>
        <w:t>依草案第</w:t>
      </w:r>
      <w:r w:rsidR="00A40049" w:rsidRPr="00D755A3">
        <w:rPr>
          <w:rFonts w:eastAsia="標楷體"/>
          <w:sz w:val="28"/>
          <w:szCs w:val="28"/>
        </w:rPr>
        <w:t>27</w:t>
      </w:r>
      <w:r w:rsidR="00A40049" w:rsidRPr="00D755A3">
        <w:rPr>
          <w:rFonts w:eastAsia="標楷體" w:hAnsi="標楷體"/>
          <w:sz w:val="28"/>
          <w:szCs w:val="28"/>
        </w:rPr>
        <w:t>條第</w:t>
      </w:r>
      <w:r w:rsidR="00A40049" w:rsidRPr="00D755A3">
        <w:rPr>
          <w:rFonts w:eastAsia="標楷體"/>
          <w:sz w:val="28"/>
          <w:szCs w:val="28"/>
        </w:rPr>
        <w:t>2</w:t>
      </w:r>
      <w:r w:rsidR="00A40049" w:rsidRPr="00D755A3">
        <w:rPr>
          <w:rFonts w:eastAsia="標楷體" w:hAnsi="標楷體"/>
          <w:sz w:val="28"/>
          <w:szCs w:val="28"/>
        </w:rPr>
        <w:t>項</w:t>
      </w:r>
      <w:proofErr w:type="gramStart"/>
      <w:r w:rsidR="00A40049" w:rsidRPr="00D755A3">
        <w:rPr>
          <w:rFonts w:eastAsia="標楷體" w:hAnsi="標楷體"/>
          <w:spacing w:val="-4"/>
          <w:sz w:val="28"/>
          <w:szCs w:val="28"/>
        </w:rPr>
        <w:t>準</w:t>
      </w:r>
      <w:proofErr w:type="gramEnd"/>
      <w:r w:rsidR="00A40049" w:rsidRPr="00D755A3">
        <w:rPr>
          <w:rFonts w:eastAsia="標楷體" w:hAnsi="標楷體"/>
          <w:spacing w:val="-4"/>
          <w:sz w:val="28"/>
          <w:szCs w:val="28"/>
        </w:rPr>
        <w:t>用民事訴訟法第</w:t>
      </w:r>
      <w:r w:rsidR="00A40049" w:rsidRPr="00D755A3">
        <w:rPr>
          <w:rFonts w:eastAsia="標楷體"/>
          <w:kern w:val="0"/>
          <w:sz w:val="28"/>
          <w:szCs w:val="28"/>
          <w:lang w:val="zh-TW"/>
        </w:rPr>
        <w:t>422</w:t>
      </w:r>
      <w:r w:rsidR="00A40049" w:rsidRPr="00D755A3">
        <w:rPr>
          <w:rFonts w:eastAsia="標楷體" w:hAnsi="標楷體"/>
          <w:kern w:val="0"/>
          <w:sz w:val="28"/>
          <w:szCs w:val="28"/>
          <w:lang w:val="zh-TW"/>
        </w:rPr>
        <w:t>條的規定，審判法官無論是否為原調解程序之法官，依法均不得參考、斟酌當事人於調解程序中所為之陳述或讓步資料，對於當事人的權益應該不會有影響。而且目前各法院法官人數不同，對於小型法院，欲貫徹題旨要求，也有相當的困難。</w:t>
      </w:r>
      <w:r w:rsidR="00A40049" w:rsidRPr="00D755A3">
        <w:rPr>
          <w:rFonts w:eastAsia="標楷體" w:hAnsi="標楷體" w:hint="eastAsia"/>
          <w:kern w:val="0"/>
          <w:sz w:val="28"/>
          <w:szCs w:val="28"/>
          <w:lang w:val="zh-TW"/>
        </w:rPr>
        <w:t>」</w:t>
      </w:r>
      <w:r w:rsidR="00A40049">
        <w:rPr>
          <w:rFonts w:eastAsia="標楷體" w:hAnsi="標楷體" w:hint="eastAsia"/>
          <w:kern w:val="0"/>
          <w:sz w:val="28"/>
          <w:szCs w:val="28"/>
          <w:lang w:val="zh-TW"/>
        </w:rPr>
        <w:t>。然而</w:t>
      </w:r>
      <w:r w:rsidR="00A40049" w:rsidRPr="00A40049">
        <w:rPr>
          <w:rFonts w:eastAsia="標楷體" w:hAnsi="標楷體" w:hint="eastAsia"/>
          <w:kern w:val="0"/>
          <w:sz w:val="28"/>
          <w:szCs w:val="28"/>
          <w:lang w:val="zh-TW"/>
        </w:rPr>
        <w:t>我們要求「調解法官」與「審理法官」</w:t>
      </w:r>
      <w:r w:rsidR="00A40049">
        <w:rPr>
          <w:rFonts w:eastAsia="標楷體" w:hAnsi="標楷體" w:hint="eastAsia"/>
          <w:kern w:val="0"/>
          <w:sz w:val="28"/>
          <w:szCs w:val="28"/>
          <w:lang w:val="zh-TW"/>
        </w:rPr>
        <w:t>必須分開為不同法官</w:t>
      </w:r>
      <w:r w:rsidR="00A40049" w:rsidRPr="00A40049">
        <w:rPr>
          <w:rFonts w:eastAsia="標楷體" w:hAnsi="標楷體" w:hint="eastAsia"/>
          <w:kern w:val="0"/>
          <w:sz w:val="28"/>
          <w:szCs w:val="28"/>
          <w:lang w:val="zh-TW"/>
        </w:rPr>
        <w:t>之理由，目的即在於徹底落實司法院前述回應中所提民事訴訟法第</w:t>
      </w:r>
      <w:r w:rsidR="00A40049" w:rsidRPr="00A40049">
        <w:rPr>
          <w:rFonts w:eastAsia="標楷體" w:hAnsi="標楷體" w:hint="eastAsia"/>
          <w:kern w:val="0"/>
          <w:sz w:val="28"/>
          <w:szCs w:val="28"/>
          <w:lang w:val="zh-TW"/>
        </w:rPr>
        <w:t>422</w:t>
      </w:r>
      <w:r w:rsidR="00A40049" w:rsidRPr="00A40049">
        <w:rPr>
          <w:rFonts w:eastAsia="標楷體" w:hAnsi="標楷體" w:hint="eastAsia"/>
          <w:kern w:val="0"/>
          <w:sz w:val="28"/>
          <w:szCs w:val="28"/>
          <w:lang w:val="zh-TW"/>
        </w:rPr>
        <w:t>條</w:t>
      </w:r>
      <w:r w:rsidR="00A40049">
        <w:rPr>
          <w:rFonts w:eastAsia="標楷體" w:hAnsi="標楷體" w:hint="eastAsia"/>
          <w:kern w:val="0"/>
          <w:sz w:val="28"/>
          <w:szCs w:val="28"/>
          <w:lang w:val="zh-TW"/>
        </w:rPr>
        <w:t>「</w:t>
      </w:r>
      <w:r w:rsidR="00A40049" w:rsidRPr="00D755A3">
        <w:rPr>
          <w:rFonts w:eastAsia="標楷體" w:hAnsi="標楷體"/>
          <w:kern w:val="0"/>
          <w:sz w:val="28"/>
          <w:szCs w:val="28"/>
          <w:lang w:val="zh-TW"/>
        </w:rPr>
        <w:t>當事人於調解程序中所為之陳述或讓步</w:t>
      </w:r>
      <w:r w:rsidR="00A40049" w:rsidRPr="00A40049">
        <w:rPr>
          <w:rFonts w:eastAsia="標楷體" w:hAnsi="標楷體" w:hint="eastAsia"/>
          <w:kern w:val="0"/>
          <w:sz w:val="28"/>
          <w:szCs w:val="28"/>
          <w:lang w:val="zh-TW"/>
        </w:rPr>
        <w:t>規定</w:t>
      </w:r>
      <w:r w:rsidR="00A40049">
        <w:rPr>
          <w:rFonts w:eastAsia="標楷體" w:hAnsi="標楷體" w:hint="eastAsia"/>
          <w:kern w:val="0"/>
          <w:sz w:val="28"/>
          <w:szCs w:val="28"/>
          <w:lang w:val="zh-TW"/>
        </w:rPr>
        <w:t>，不得為裁判之基礎」之規定</w:t>
      </w:r>
      <w:r w:rsidR="00A40049" w:rsidRPr="00A40049">
        <w:rPr>
          <w:rFonts w:eastAsia="標楷體" w:hAnsi="標楷體" w:hint="eastAsia"/>
          <w:kern w:val="0"/>
          <w:sz w:val="28"/>
          <w:szCs w:val="28"/>
          <w:lang w:val="zh-TW"/>
        </w:rPr>
        <w:t>。</w:t>
      </w:r>
    </w:p>
    <w:p w:rsidR="00BF3170" w:rsidRPr="00BF3170" w:rsidRDefault="00A40049" w:rsidP="00BF3170">
      <w:pPr>
        <w:pStyle w:val="a3"/>
        <w:numPr>
          <w:ilvl w:val="0"/>
          <w:numId w:val="1"/>
        </w:numPr>
        <w:snapToGrid w:val="0"/>
        <w:spacing w:line="520" w:lineRule="exact"/>
        <w:ind w:leftChars="0" w:left="840" w:hangingChars="300" w:hanging="840"/>
        <w:jc w:val="both"/>
        <w:rPr>
          <w:rFonts w:ascii="Times New Roman" w:eastAsia="標楷體" w:hAnsi="Times New Roman" w:hint="eastAsia"/>
          <w:sz w:val="28"/>
        </w:rPr>
      </w:pPr>
      <w:r>
        <w:rPr>
          <w:rFonts w:eastAsia="標楷體" w:hAnsi="標楷體" w:hint="eastAsia"/>
          <w:kern w:val="0"/>
          <w:sz w:val="28"/>
          <w:szCs w:val="28"/>
          <w:lang w:val="zh-TW"/>
        </w:rPr>
        <w:t>民事訴訟法第</w:t>
      </w:r>
      <w:r>
        <w:rPr>
          <w:rFonts w:eastAsia="標楷體" w:hAnsi="標楷體"/>
          <w:kern w:val="0"/>
          <w:sz w:val="28"/>
          <w:szCs w:val="28"/>
          <w:lang w:val="zh-TW"/>
        </w:rPr>
        <w:t>422</w:t>
      </w:r>
      <w:r>
        <w:rPr>
          <w:rFonts w:eastAsia="標楷體" w:hAnsi="標楷體" w:hint="eastAsia"/>
          <w:kern w:val="0"/>
          <w:sz w:val="28"/>
          <w:szCs w:val="28"/>
          <w:lang w:val="zh-TW"/>
        </w:rPr>
        <w:t>條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規定之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立法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目的在於讓當事人可以「無後顧之憂」的參與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家事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調解，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並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暢所欲言，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此亦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為促進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家事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調解的重要「基石」之</w:t>
      </w:r>
      <w:proofErr w:type="gramStart"/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一</w:t>
      </w:r>
      <w:proofErr w:type="gramEnd"/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。然而，我們簡單嘗試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在法學檢索</w:t>
      </w:r>
      <w:r w:rsidR="00BF3170" w:rsidRPr="00A40049">
        <w:rPr>
          <w:rFonts w:eastAsia="標楷體" w:hAnsi="標楷體" w:hint="eastAsia"/>
          <w:kern w:val="0"/>
          <w:sz w:val="28"/>
          <w:szCs w:val="28"/>
          <w:lang w:val="zh-TW"/>
        </w:rPr>
        <w:t>資料庫中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，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使用兩個關鍵字去查詢已公開的判決書，即可發現至少有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18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件民事判決，法官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在判決書中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毫不隱蔽的以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當事人在調解中的陳述或讓步為其裁判之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基礎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；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其中超過半數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計有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13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件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是屬於家事事件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（詳附件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1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、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2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）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；更遑論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如果逐一檢視並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加上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不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公開判決以及「形式上」避開此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條文規定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判決後之數量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，絕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lastRenderedPageBreak/>
        <w:t>非少數偶發之例外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。這樣的現況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，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顯然會造成當事人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是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在「有後顧之憂」的情形下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，到法院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參與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家事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調解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程序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，不敢暢所欲言，而阻斷利用家事調解制度解決紛爭的機會，摧毀調解制度的重要「基石」，嚴重影響當事人之權益。司法院回應中表示「</w:t>
      </w:r>
      <w:r w:rsidRPr="00A40049">
        <w:rPr>
          <w:rFonts w:eastAsia="標楷體" w:hAnsi="標楷體"/>
          <w:kern w:val="0"/>
          <w:sz w:val="28"/>
          <w:szCs w:val="28"/>
          <w:lang w:val="zh-TW"/>
        </w:rPr>
        <w:t>對於當事人的權益應該不會有影響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」云云，與實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際的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情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形，顯然</w:t>
      </w:r>
      <w:r w:rsidRPr="00A40049">
        <w:rPr>
          <w:rFonts w:eastAsia="標楷體" w:hAnsi="標楷體" w:hint="eastAsia"/>
          <w:kern w:val="0"/>
          <w:sz w:val="28"/>
          <w:szCs w:val="28"/>
          <w:lang w:val="zh-TW"/>
        </w:rPr>
        <w:t>不符。</w:t>
      </w:r>
    </w:p>
    <w:p w:rsidR="00BF3170" w:rsidRPr="00BF3170" w:rsidRDefault="00BF3170" w:rsidP="00BF3170">
      <w:pPr>
        <w:pStyle w:val="a3"/>
        <w:numPr>
          <w:ilvl w:val="0"/>
          <w:numId w:val="1"/>
        </w:numPr>
        <w:snapToGrid w:val="0"/>
        <w:spacing w:line="520" w:lineRule="exact"/>
        <w:ind w:leftChars="0" w:left="840" w:hangingChars="300" w:hanging="840"/>
        <w:jc w:val="both"/>
        <w:rPr>
          <w:rFonts w:ascii="Times New Roman" w:eastAsia="標楷體" w:hAnsi="Times New Roman" w:hint="eastAsia"/>
          <w:sz w:val="28"/>
        </w:rPr>
      </w:pPr>
      <w:r>
        <w:rPr>
          <w:rFonts w:eastAsia="標楷體" w:hAnsi="標楷體" w:hint="eastAsia"/>
          <w:kern w:val="0"/>
          <w:sz w:val="28"/>
          <w:szCs w:val="28"/>
        </w:rPr>
        <w:t>因此，</w:t>
      </w:r>
      <w:r w:rsidR="00A40049" w:rsidRPr="00BF3170">
        <w:rPr>
          <w:rFonts w:eastAsia="標楷體" w:hAnsi="標楷體" w:hint="eastAsia"/>
          <w:kern w:val="0"/>
          <w:sz w:val="28"/>
          <w:szCs w:val="28"/>
          <w:lang w:val="zh-TW"/>
        </w:rPr>
        <w:t>我們認為在家事事件法中應明文規定</w:t>
      </w:r>
      <w:r w:rsidR="00A40049" w:rsidRPr="00BF3170">
        <w:rPr>
          <w:rFonts w:eastAsia="標楷體" w:hint="eastAsia"/>
          <w:sz w:val="28"/>
          <w:szCs w:val="28"/>
        </w:rPr>
        <w:t>「調解法官」與「審判法官」分離，並輔以「調解卷宗於調解結束後即先行歸檔不</w:t>
      </w:r>
      <w:proofErr w:type="gramStart"/>
      <w:r w:rsidR="00A40049" w:rsidRPr="00BF3170">
        <w:rPr>
          <w:rFonts w:eastAsia="標楷體" w:hint="eastAsia"/>
          <w:sz w:val="28"/>
          <w:szCs w:val="28"/>
        </w:rPr>
        <w:t>併</w:t>
      </w:r>
      <w:proofErr w:type="gramEnd"/>
      <w:r w:rsidR="00A40049" w:rsidRPr="00BF3170">
        <w:rPr>
          <w:rFonts w:eastAsia="標楷體" w:hint="eastAsia"/>
          <w:sz w:val="28"/>
          <w:szCs w:val="28"/>
        </w:rPr>
        <w:t>送審理</w:t>
      </w:r>
      <w:r>
        <w:rPr>
          <w:rFonts w:eastAsia="標楷體" w:hint="eastAsia"/>
          <w:sz w:val="28"/>
          <w:szCs w:val="28"/>
        </w:rPr>
        <w:t>法官</w:t>
      </w:r>
      <w:r w:rsidR="00A40049" w:rsidRPr="00BF3170">
        <w:rPr>
          <w:rFonts w:eastAsia="標楷體" w:hint="eastAsia"/>
          <w:sz w:val="28"/>
          <w:szCs w:val="28"/>
        </w:rPr>
        <w:t>」等等配套規定，始能落實「於家事調解中之陳述與讓步，不得做為調解不成立後法官為判決基礎」之重要規定，亦才能促進家事調解制度之效能，不讓調解制度形同虛設。</w:t>
      </w:r>
    </w:p>
    <w:p w:rsidR="00A40049" w:rsidRPr="00BF3170" w:rsidRDefault="00A40049" w:rsidP="00BF3170">
      <w:pPr>
        <w:pStyle w:val="a3"/>
        <w:numPr>
          <w:ilvl w:val="0"/>
          <w:numId w:val="1"/>
        </w:numPr>
        <w:snapToGrid w:val="0"/>
        <w:spacing w:line="520" w:lineRule="exact"/>
        <w:ind w:leftChars="0" w:left="840" w:hangingChars="300" w:hanging="840"/>
        <w:jc w:val="both"/>
        <w:rPr>
          <w:rFonts w:ascii="Times New Roman" w:eastAsia="標楷體" w:hAnsi="Times New Roman"/>
          <w:sz w:val="28"/>
        </w:rPr>
      </w:pPr>
      <w:r w:rsidRPr="00BF3170">
        <w:rPr>
          <w:rFonts w:eastAsia="標楷體" w:hAnsi="標楷體" w:hint="eastAsia"/>
          <w:kern w:val="0"/>
          <w:sz w:val="28"/>
          <w:szCs w:val="28"/>
        </w:rPr>
        <w:t>至於</w:t>
      </w:r>
      <w:proofErr w:type="gramStart"/>
      <w:r w:rsidRPr="00BF3170">
        <w:rPr>
          <w:rFonts w:eastAsia="標楷體" w:hAnsi="標楷體" w:hint="eastAsia"/>
          <w:kern w:val="0"/>
          <w:sz w:val="28"/>
          <w:szCs w:val="28"/>
        </w:rPr>
        <w:t>採</w:t>
      </w:r>
      <w:proofErr w:type="gramEnd"/>
      <w:r w:rsidRPr="00BF3170">
        <w:rPr>
          <w:rFonts w:eastAsia="標楷體" w:hAnsi="標楷體" w:hint="eastAsia"/>
          <w:kern w:val="0"/>
          <w:sz w:val="28"/>
          <w:szCs w:val="28"/>
        </w:rPr>
        <w:t>行</w:t>
      </w:r>
      <w:r w:rsidRPr="00BF3170">
        <w:rPr>
          <w:rFonts w:eastAsia="標楷體" w:hAnsi="標楷體" w:hint="eastAsia"/>
          <w:kern w:val="0"/>
          <w:sz w:val="28"/>
          <w:szCs w:val="28"/>
          <w:lang w:val="zh-TW"/>
        </w:rPr>
        <w:t>「調解法官」與「審理法官」分離原則，並非只有增加法官員額、成立調解專股</w:t>
      </w:r>
      <w:proofErr w:type="gramStart"/>
      <w:r w:rsidRPr="00BF3170">
        <w:rPr>
          <w:rFonts w:eastAsia="標楷體" w:hAnsi="標楷體" w:hint="eastAsia"/>
          <w:kern w:val="0"/>
          <w:sz w:val="28"/>
          <w:szCs w:val="28"/>
          <w:lang w:val="zh-TW"/>
        </w:rPr>
        <w:t>一</w:t>
      </w:r>
      <w:proofErr w:type="gramEnd"/>
      <w:r w:rsidRPr="00BF3170">
        <w:rPr>
          <w:rFonts w:eastAsia="標楷體" w:hAnsi="標楷體" w:hint="eastAsia"/>
          <w:kern w:val="0"/>
          <w:sz w:val="28"/>
          <w:szCs w:val="28"/>
          <w:lang w:val="zh-TW"/>
        </w:rPr>
        <w:t>途而已。例如透過分案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的設計</w:t>
      </w:r>
      <w:r w:rsidRPr="00BF3170">
        <w:rPr>
          <w:rFonts w:eastAsia="標楷體" w:hAnsi="標楷體" w:hint="eastAsia"/>
          <w:kern w:val="0"/>
          <w:sz w:val="28"/>
          <w:szCs w:val="28"/>
          <w:lang w:val="zh-TW"/>
        </w:rPr>
        <w:t>，將調解不成立之案件改分由其他法官審理，亦可達到分離原則的要求</w:t>
      </w:r>
      <w:r w:rsidR="00BF3170">
        <w:rPr>
          <w:rFonts w:eastAsia="標楷體" w:hAnsi="標楷體" w:hint="eastAsia"/>
          <w:kern w:val="0"/>
          <w:sz w:val="28"/>
          <w:szCs w:val="28"/>
          <w:lang w:val="zh-TW"/>
        </w:rPr>
        <w:t>。</w:t>
      </w:r>
      <w:r w:rsidRPr="00BF3170">
        <w:rPr>
          <w:rFonts w:eastAsia="標楷體" w:hAnsi="標楷體" w:hint="eastAsia"/>
          <w:kern w:val="0"/>
          <w:sz w:val="28"/>
          <w:szCs w:val="28"/>
          <w:lang w:val="zh-TW"/>
        </w:rPr>
        <w:t>司法院之回應，將此訴求誤導為需要增加法官員額，顯非的論。</w:t>
      </w:r>
    </w:p>
    <w:sectPr w:rsidR="00A40049" w:rsidRPr="00BF31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3D71"/>
    <w:multiLevelType w:val="hybridMultilevel"/>
    <w:tmpl w:val="0F685C5A"/>
    <w:lvl w:ilvl="0" w:tplc="748ED1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1F"/>
    <w:rsid w:val="00811258"/>
    <w:rsid w:val="00A40049"/>
    <w:rsid w:val="00BF3170"/>
    <w:rsid w:val="00D148AC"/>
    <w:rsid w:val="00EB6FCF"/>
    <w:rsid w:val="00E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B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B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162</Words>
  <Characters>927</Characters>
  <Application>Microsoft Office Word</Application>
  <DocSecurity>0</DocSecurity>
  <Lines>7</Lines>
  <Paragraphs>2</Paragraphs>
  <ScaleCrop>false</ScaleCrop>
  <Company>HNA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TsungWu</dc:creator>
  <cp:lastModifiedBy>TsungWu</cp:lastModifiedBy>
  <cp:revision>2</cp:revision>
  <dcterms:created xsi:type="dcterms:W3CDTF">2011-10-04T04:10:00Z</dcterms:created>
  <dcterms:modified xsi:type="dcterms:W3CDTF">2011-10-04T05:39:00Z</dcterms:modified>
</cp:coreProperties>
</file>